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color w:val="auto"/>
        </w:rPr>
        <w:t>1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5.oktobra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4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lv-LV" w:eastAsia="lv-LV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KUSTAMĀS MANTAS – TRAKTORA MTZ-80</w:t>
      </w:r>
      <w:r>
        <w:rPr>
          <w:b/>
          <w:color w:val="000000"/>
          <w:sz w:val="28"/>
          <w:szCs w:val="28"/>
        </w:rPr>
        <w:t xml:space="preserve">, VALSTS REĢISTRĀCIJAS NUMURS T347LC,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lv-LV" w:eastAsia="lv-LV" w:bidi="ar-SA"/>
        </w:rPr>
        <w:t>OTRĀS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1.1. Šie noteikumi (turpmāk tekstā – Noteikumi) nosaka kārtību, kādā organizējama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/>
          <w:sz w:val="24"/>
          <w:szCs w:val="24"/>
          <w:lang w:eastAsia="ar-SA"/>
        </w:rPr>
        <w:t xml:space="preserve">       </w:t>
      </w:r>
      <w:r>
        <w:rPr>
          <w:b w:val="false"/>
          <w:bCs w:val="false"/>
          <w:sz w:val="24"/>
          <w:szCs w:val="24"/>
          <w:lang w:eastAsia="ar-SA"/>
        </w:rPr>
        <w:t>traktora MTZ-80</w:t>
      </w:r>
      <w:r>
        <w:rPr>
          <w:color w:val="000000"/>
          <w:sz w:val="24"/>
          <w:szCs w:val="24"/>
        </w:rPr>
        <w:t xml:space="preserve">, valsts reģistrācijas numurs </w:t>
      </w:r>
      <w:r>
        <w:rPr>
          <w:b w:val="false"/>
          <w:bCs w:val="false"/>
          <w:color w:val="000000"/>
          <w:sz w:val="24"/>
          <w:szCs w:val="24"/>
        </w:rPr>
        <w:t>T347LC</w:t>
      </w:r>
      <w:r>
        <w:rPr>
          <w:sz w:val="24"/>
          <w:szCs w:val="24"/>
        </w:rPr>
        <w:t xml:space="preserve"> (turpmāk tekstā – Kustamā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manta) </w:t>
      </w:r>
      <w:r>
        <w:rPr>
          <w:sz w:val="24"/>
          <w:szCs w:val="24"/>
        </w:rPr>
        <w:t xml:space="preserve">otrā </w:t>
      </w:r>
      <w:r>
        <w:rPr>
          <w:sz w:val="24"/>
          <w:szCs w:val="24"/>
        </w:rPr>
        <w:t>izsole, atbilstoši Publiskas personas mantas atsavināšanas likumam.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1.2. Izsoli organizē Balvu novada pašvaldības aģentūras „SAN-TEX” Izsoļu komisija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(turpmāk tekstā – Komisija).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23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TEX”, 2.stāva sēžu zālē,</w:t>
      </w:r>
      <w:r>
        <w:rPr>
          <w:b/>
          <w:bCs/>
          <w:color w:val="C9211E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6.novembrī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13:00</w:t>
      </w:r>
      <w:r>
        <w:rPr>
          <w:b/>
          <w:bCs/>
          <w:color w:val="auto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1.4. 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 xml:space="preserve">sākumcena </w:t>
      </w:r>
      <w:r>
        <w:rPr>
          <w:b/>
          <w:bCs/>
          <w:color w:val="auto"/>
          <w:lang w:val="lv-LV"/>
        </w:rPr>
        <w:t xml:space="preserve">EUR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en-US" w:bidi="ar-SA"/>
        </w:rPr>
        <w:t>915,20</w:t>
      </w:r>
      <w:r>
        <w:rPr>
          <w:b/>
          <w:bCs/>
          <w:color w:val="auto"/>
          <w:lang w:val="lv-LV"/>
        </w:rPr>
        <w:t xml:space="preserve"> </w:t>
      </w:r>
      <w:r>
        <w:rPr>
          <w:b w:val="false"/>
          <w:bCs w:val="false"/>
          <w:color w:val="auto"/>
          <w:lang w:val="lv-LV"/>
        </w:rPr>
        <w:t>(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deviņi simti piecpadsmit euro 20 centi)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en-US" w:bidi="ar-SA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1.6. Izsoles solis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20.00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(divdesmit euro 00 centi).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5.00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(pieci euro 00 centi).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 -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91,52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auto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deviņdesmit viens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 euro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52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 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2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 xml:space="preserve">Kustamās mantas </w:t>
      </w:r>
      <w:r>
        <w:rPr>
          <w:b/>
          <w:bCs/>
          <w:sz w:val="24"/>
          <w:szCs w:val="24"/>
        </w:rPr>
        <w:t>raksturojums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2.1.</w:t>
      </w:r>
      <w:r>
        <w:rPr>
          <w:bCs/>
          <w:sz w:val="24"/>
          <w:szCs w:val="24"/>
          <w:lang w:eastAsia="ar-SA"/>
        </w:rPr>
        <w:t xml:space="preserve"> </w:t>
      </w:r>
      <w:bookmarkStart w:id="0" w:name="__DdeLink__907_1095671139"/>
      <w:r>
        <w:rPr>
          <w:bCs/>
          <w:sz w:val="24"/>
          <w:szCs w:val="24"/>
          <w:lang w:eastAsia="ar-SA"/>
        </w:rPr>
        <w:t>Traktora</w:t>
      </w:r>
      <w:bookmarkEnd w:id="0"/>
      <w:r>
        <w:rPr>
          <w:sz w:val="24"/>
          <w:szCs w:val="24"/>
        </w:rPr>
        <w:t xml:space="preserve"> marka/ modelis:</w:t>
      </w:r>
      <w:r>
        <w:rPr>
          <w:b w:val="false"/>
          <w:bCs w:val="false"/>
          <w:sz w:val="24"/>
          <w:szCs w:val="24"/>
          <w:lang w:eastAsia="ar-SA"/>
        </w:rPr>
        <w:t xml:space="preserve"> MTZ-80</w:t>
      </w:r>
      <w:r>
        <w:rPr>
          <w:sz w:val="24"/>
          <w:szCs w:val="24"/>
        </w:rPr>
        <w:t xml:space="preserve">;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 xml:space="preserve">2.2. Valsts reģistrācijas numurs </w:t>
      </w:r>
      <w:r>
        <w:rPr>
          <w:color w:val="000000"/>
          <w:sz w:val="24"/>
          <w:szCs w:val="24"/>
        </w:rPr>
        <w:t>T347LC</w:t>
      </w:r>
      <w:r>
        <w:rPr>
          <w:sz w:val="24"/>
          <w:szCs w:val="24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2.3.  Izlaiduma gads: </w:t>
      </w:r>
      <w:r>
        <w:rPr>
          <w:color w:val="000000"/>
          <w:sz w:val="24"/>
          <w:szCs w:val="24"/>
        </w:rPr>
        <w:t>1984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2.4.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rūpn. Nr. </w:t>
      </w:r>
      <w:r>
        <w:rPr>
          <w:color w:val="auto"/>
          <w:sz w:val="24"/>
          <w:szCs w:val="24"/>
        </w:rPr>
        <w:t>354231, motora Nr.761192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2.5.  Reģistrācijas apliecība: A235459</w:t>
      </w:r>
      <w:r>
        <w:rPr>
          <w:color w:val="auto"/>
          <w:sz w:val="24"/>
          <w:szCs w:val="24"/>
        </w:rPr>
        <w:t>, reģ. datums 2004.gada 26.maijs, VTUI Balvu raj.daļa;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2.6.  Tehniskā apskate: nav</w:t>
      </w:r>
      <w:r>
        <w:rPr>
          <w:color w:val="auto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2.7.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Rūsa kabīnei, motora pārsegam, aizmugures spārniem, caurejoša rūsa kabīnes durvīm,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deformēts un remontēts aizm.kr.spārns, kabīnes grīda, riepas nodilušas un sasprēgājušas,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nav aizmugures piekares, pārsaldēts motora bloks, karterī pie eļļas ūdens, bojāti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aizmugures lukturi. Bez tehniskās apskates.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2.8. </w:t>
      </w:r>
      <w:r>
        <w:rPr>
          <w:bCs/>
          <w:sz w:val="24"/>
          <w:szCs w:val="24"/>
          <w:lang w:eastAsia="ar-SA"/>
        </w:rPr>
        <w:t>Traktoru</w:t>
      </w:r>
      <w:r>
        <w:rPr>
          <w:sz w:val="24"/>
          <w:szCs w:val="24"/>
        </w:rPr>
        <w:t xml:space="preserve"> var apskatīt darba dienās, iepriekš sazinoties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</w:t>
      </w:r>
      <w:r>
        <w:rPr>
          <w:rFonts w:ascii="Times New Roman" w:hAnsi="Times New Roman"/>
          <w:color w:val="auto"/>
          <w:sz w:val="24"/>
          <w:szCs w:val="24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color w:val="auto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3"/>
            <w:rFonts w:ascii="Times New Roman" w:hAnsi="Times New Roman"/>
            <w:iCs/>
            <w:color w:val="auto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       “</w:t>
      </w:r>
      <w:r>
        <w:rPr>
          <w:rFonts w:ascii="Times New Roman" w:hAnsi="Times New Roman"/>
          <w:color w:val="auto"/>
          <w:sz w:val="24"/>
          <w:szCs w:val="24"/>
        </w:rPr>
        <w:t>Vaduguns”,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Balvu novada pašvaldības mājaslapā </w:t>
      </w:r>
      <w:hyperlink r:id="rId6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2</w:t>
      </w:r>
      <w:r>
        <w:rPr>
          <w:rFonts w:ascii="Times New Roman" w:hAnsi="Times New Roman"/>
          <w:color w:val="auto"/>
          <w:sz w:val="24"/>
          <w:szCs w:val="24"/>
        </w:rPr>
        <w:t xml:space="preserve">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5.novembrim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LibreOffice/6.3.1.2$Windows_X86_64 LibreOffice_project/b79626edf0065ac373bd1df5c28bd630b4424273</Application>
  <Pages>5</Pages>
  <Words>1811</Words>
  <Characters>12502</Characters>
  <CharactersWithSpaces>15246</CharactersWithSpaces>
  <Paragraphs>213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2019-10-21T09:37:08Z</cp:lastPrinted>
  <dcterms:modified xsi:type="dcterms:W3CDTF">2019-10-21T09:38:18Z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